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71544" w14:textId="0BABFAA6" w:rsidR="00C14B67" w:rsidRDefault="00B26153">
      <w:pPr>
        <w:rPr>
          <w:b/>
          <w:bCs/>
          <w:sz w:val="36"/>
          <w:szCs w:val="36"/>
        </w:rPr>
      </w:pPr>
      <w:r w:rsidRPr="00B26153">
        <w:rPr>
          <w:b/>
          <w:bCs/>
          <w:sz w:val="36"/>
          <w:szCs w:val="36"/>
        </w:rPr>
        <w:t>TCDC District Plan</w:t>
      </w:r>
    </w:p>
    <w:p w14:paraId="4F5AF74F" w14:textId="77777777" w:rsidR="0094454D" w:rsidRPr="0094454D" w:rsidRDefault="0094454D">
      <w:pPr>
        <w:rPr>
          <w:sz w:val="24"/>
          <w:szCs w:val="24"/>
        </w:rPr>
      </w:pPr>
    </w:p>
    <w:p w14:paraId="55E6683B" w14:textId="77777777" w:rsidR="00B26153" w:rsidRPr="002D3988" w:rsidRDefault="00B26153" w:rsidP="00B26153">
      <w:pPr>
        <w:spacing w:before="150" w:after="100" w:afterAutospacing="1" w:line="240" w:lineRule="auto"/>
        <w:outlineLvl w:val="3"/>
        <w:rPr>
          <w:rFonts w:ascii="Times New Roman" w:eastAsia="Times New Roman" w:hAnsi="Times New Roman" w:cs="Times New Roman"/>
          <w:b/>
          <w:bCs/>
          <w:color w:val="000000"/>
          <w:kern w:val="0"/>
          <w:sz w:val="24"/>
          <w:szCs w:val="24"/>
          <w14:ligatures w14:val="none"/>
        </w:rPr>
      </w:pPr>
      <w:r w:rsidRPr="002D3988">
        <w:rPr>
          <w:rFonts w:ascii="Times New Roman" w:eastAsia="Times New Roman" w:hAnsi="Times New Roman" w:cs="Times New Roman"/>
          <w:b/>
          <w:bCs/>
          <w:color w:val="000000"/>
          <w:kern w:val="0"/>
          <w:sz w:val="24"/>
          <w:szCs w:val="24"/>
          <w14:ligatures w14:val="none"/>
        </w:rPr>
        <w:t>453 - Standards</w:t>
      </w:r>
    </w:p>
    <w:p w14:paraId="03397AED" w14:textId="77777777" w:rsidR="00B26153" w:rsidRPr="00B26153" w:rsidRDefault="00B26153" w:rsidP="00B26153">
      <w:pPr>
        <w:spacing w:after="0" w:line="240" w:lineRule="auto"/>
        <w:rPr>
          <w:rFonts w:ascii="Times New Roman" w:eastAsia="Times New Roman" w:hAnsi="Times New Roman" w:cs="Times New Roman"/>
          <w:kern w:val="0"/>
          <w:sz w:val="24"/>
          <w:szCs w:val="24"/>
          <w:highlight w:val="yellow"/>
          <w14:ligatures w14:val="none"/>
        </w:rPr>
      </w:pPr>
      <w:r w:rsidRPr="00B26153">
        <w:rPr>
          <w:rFonts w:ascii="Times New Roman" w:eastAsia="Times New Roman" w:hAnsi="Times New Roman" w:cs="Times New Roman"/>
          <w:kern w:val="0"/>
          <w:sz w:val="24"/>
          <w:szCs w:val="24"/>
          <w:highlight w:val="yellow"/>
          <w14:ligatures w14:val="none"/>
        </w:rPr>
        <w:t xml:space="preserve">Floor levels of all houses and all habitable rooms shall meet the following </w:t>
      </w:r>
      <w:hyperlink r:id="rId4"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standards</w:t>
        </w:r>
      </w:hyperlink>
      <w:r w:rsidRPr="00B26153">
        <w:rPr>
          <w:rFonts w:ascii="Times New Roman" w:eastAsia="Times New Roman" w:hAnsi="Times New Roman" w:cs="Times New Roman"/>
          <w:kern w:val="0"/>
          <w:sz w:val="24"/>
          <w:szCs w:val="24"/>
          <w:highlight w:val="yellow"/>
          <w14:ligatures w14:val="none"/>
        </w:rPr>
        <w:t>:</w:t>
      </w:r>
    </w:p>
    <w:p w14:paraId="4F2D8141" w14:textId="77777777" w:rsidR="00B26153" w:rsidRPr="002D3988" w:rsidRDefault="00B26153" w:rsidP="00B26153">
      <w:pPr>
        <w:spacing w:after="0" w:line="240" w:lineRule="auto"/>
        <w:rPr>
          <w:rFonts w:ascii="Times New Roman" w:eastAsia="Times New Roman" w:hAnsi="Times New Roman" w:cs="Times New Roman"/>
          <w:kern w:val="0"/>
          <w:sz w:val="24"/>
          <w:szCs w:val="24"/>
          <w14:ligatures w14:val="none"/>
        </w:rPr>
      </w:pPr>
      <w:r w:rsidRPr="00B26153">
        <w:rPr>
          <w:rFonts w:ascii="Times New Roman" w:eastAsia="Times New Roman" w:hAnsi="Times New Roman" w:cs="Times New Roman"/>
          <w:kern w:val="0"/>
          <w:sz w:val="24"/>
          <w:szCs w:val="24"/>
          <w:highlight w:val="yellow"/>
          <w14:ligatures w14:val="none"/>
        </w:rPr>
        <w:t>In areas covered by flood management plans: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gridCol w:w="8671"/>
      </w:tblGrid>
      <w:tr w:rsidR="00B26153" w:rsidRPr="002D3988" w14:paraId="53107543" w14:textId="77777777" w:rsidTr="00B66E18">
        <w:trPr>
          <w:tblCellSpacing w:w="15" w:type="dxa"/>
        </w:trPr>
        <w:tc>
          <w:tcPr>
            <w:tcW w:w="0" w:type="auto"/>
            <w:vAlign w:val="center"/>
            <w:hideMark/>
          </w:tcPr>
          <w:p w14:paraId="1FC48C6F" w14:textId="77777777" w:rsidR="00B26153" w:rsidRPr="002D3988" w:rsidRDefault="00B26153" w:rsidP="00B66E18">
            <w:pPr>
              <w:spacing w:after="0"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(a)</w:t>
            </w:r>
          </w:p>
        </w:tc>
        <w:tc>
          <w:tcPr>
            <w:tcW w:w="0" w:type="auto"/>
            <w:vAlign w:val="center"/>
            <w:hideMark/>
          </w:tcPr>
          <w:p w14:paraId="524C456E"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Primary overland flow areas: Not less than one metre above natural </w:t>
            </w:r>
            <w:hyperlink r:id="rId5" w:tooltip="Click for definition" w:history="1">
              <w:r w:rsidRPr="002D3988">
                <w:rPr>
                  <w:rFonts w:ascii="Times New Roman" w:eastAsia="Times New Roman" w:hAnsi="Times New Roman" w:cs="Times New Roman"/>
                  <w:color w:val="0000FF"/>
                  <w:kern w:val="0"/>
                  <w:sz w:val="24"/>
                  <w:szCs w:val="24"/>
                  <w:u w:val="single"/>
                  <w14:ligatures w14:val="none"/>
                </w:rPr>
                <w:t>ground level</w:t>
              </w:r>
            </w:hyperlink>
            <w:r w:rsidRPr="002D3988">
              <w:rPr>
                <w:rFonts w:ascii="Times New Roman" w:eastAsia="Times New Roman" w:hAnsi="Times New Roman" w:cs="Times New Roman"/>
                <w:kern w:val="0"/>
                <w:sz w:val="24"/>
                <w:szCs w:val="24"/>
                <w14:ligatures w14:val="none"/>
              </w:rPr>
              <w:t>;</w:t>
            </w:r>
          </w:p>
        </w:tc>
      </w:tr>
      <w:tr w:rsidR="00B26153" w:rsidRPr="002D3988" w14:paraId="194EDCBE" w14:textId="77777777" w:rsidTr="00B66E18">
        <w:trPr>
          <w:tblCellSpacing w:w="15" w:type="dxa"/>
        </w:trPr>
        <w:tc>
          <w:tcPr>
            <w:tcW w:w="0" w:type="auto"/>
            <w:vAlign w:val="center"/>
            <w:hideMark/>
          </w:tcPr>
          <w:p w14:paraId="396F5F2F" w14:textId="77777777" w:rsidR="00B26153" w:rsidRPr="00391679" w:rsidRDefault="00B26153" w:rsidP="00B66E18">
            <w:pPr>
              <w:spacing w:after="0" w:line="240" w:lineRule="auto"/>
              <w:rPr>
                <w:rFonts w:ascii="Times New Roman" w:eastAsia="Times New Roman" w:hAnsi="Times New Roman" w:cs="Times New Roman"/>
                <w:kern w:val="0"/>
                <w:sz w:val="24"/>
                <w:szCs w:val="24"/>
                <w:highlight w:val="yellow"/>
                <w14:ligatures w14:val="none"/>
              </w:rPr>
            </w:pPr>
            <w:r w:rsidRPr="00391679">
              <w:rPr>
                <w:rFonts w:ascii="Times New Roman" w:eastAsia="Times New Roman" w:hAnsi="Times New Roman" w:cs="Times New Roman"/>
                <w:kern w:val="0"/>
                <w:sz w:val="24"/>
                <w:szCs w:val="24"/>
                <w:highlight w:val="yellow"/>
                <w14:ligatures w14:val="none"/>
              </w:rPr>
              <w:t>(b)</w:t>
            </w:r>
          </w:p>
        </w:tc>
        <w:tc>
          <w:tcPr>
            <w:tcW w:w="0" w:type="auto"/>
            <w:vAlign w:val="center"/>
            <w:hideMark/>
          </w:tcPr>
          <w:p w14:paraId="00A371BC" w14:textId="77777777" w:rsidR="00B26153" w:rsidRPr="00391679" w:rsidRDefault="00B26153" w:rsidP="00B66E18">
            <w:pPr>
              <w:spacing w:before="100" w:beforeAutospacing="1" w:after="100" w:afterAutospacing="1" w:line="240" w:lineRule="auto"/>
              <w:rPr>
                <w:rFonts w:ascii="Times New Roman" w:eastAsia="Times New Roman" w:hAnsi="Times New Roman" w:cs="Times New Roman"/>
                <w:kern w:val="0"/>
                <w:sz w:val="24"/>
                <w:szCs w:val="24"/>
                <w:highlight w:val="yellow"/>
                <w14:ligatures w14:val="none"/>
              </w:rPr>
            </w:pPr>
            <w:hyperlink r:id="rId6" w:tooltip="Click for definition" w:history="1">
              <w:r w:rsidRPr="00391679">
                <w:rPr>
                  <w:rFonts w:ascii="Times New Roman" w:eastAsia="Times New Roman" w:hAnsi="Times New Roman" w:cs="Times New Roman"/>
                  <w:color w:val="0000FF"/>
                  <w:kern w:val="0"/>
                  <w:sz w:val="24"/>
                  <w:szCs w:val="24"/>
                  <w:highlight w:val="yellow"/>
                  <w:u w:val="single"/>
                  <w14:ligatures w14:val="none"/>
                </w:rPr>
                <w:t>Secondary overland flow</w:t>
              </w:r>
            </w:hyperlink>
            <w:r w:rsidRPr="00391679">
              <w:rPr>
                <w:rFonts w:ascii="Times New Roman" w:eastAsia="Times New Roman" w:hAnsi="Times New Roman" w:cs="Times New Roman"/>
                <w:kern w:val="0"/>
                <w:sz w:val="24"/>
                <w:szCs w:val="24"/>
                <w:highlight w:val="yellow"/>
                <w14:ligatures w14:val="none"/>
              </w:rPr>
              <w:t xml:space="preserve"> areas: Not less than 0.5 metres above natural </w:t>
            </w:r>
            <w:hyperlink r:id="rId7" w:tooltip="Click for definition" w:history="1">
              <w:r w:rsidRPr="00391679">
                <w:rPr>
                  <w:rFonts w:ascii="Times New Roman" w:eastAsia="Times New Roman" w:hAnsi="Times New Roman" w:cs="Times New Roman"/>
                  <w:color w:val="0000FF"/>
                  <w:kern w:val="0"/>
                  <w:sz w:val="24"/>
                  <w:szCs w:val="24"/>
                  <w:highlight w:val="yellow"/>
                  <w:u w:val="single"/>
                  <w14:ligatures w14:val="none"/>
                </w:rPr>
                <w:t>ground level</w:t>
              </w:r>
            </w:hyperlink>
            <w:r w:rsidRPr="00391679">
              <w:rPr>
                <w:rFonts w:ascii="Times New Roman" w:eastAsia="Times New Roman" w:hAnsi="Times New Roman" w:cs="Times New Roman"/>
                <w:kern w:val="0"/>
                <w:sz w:val="24"/>
                <w:szCs w:val="24"/>
                <w:highlight w:val="yellow"/>
                <w14:ligatures w14:val="none"/>
              </w:rPr>
              <w:t>;</w:t>
            </w:r>
          </w:p>
        </w:tc>
      </w:tr>
      <w:tr w:rsidR="00B26153" w:rsidRPr="00B26153" w14:paraId="2CD2BC3A" w14:textId="77777777" w:rsidTr="00B66E18">
        <w:trPr>
          <w:tblCellSpacing w:w="15" w:type="dxa"/>
        </w:trPr>
        <w:tc>
          <w:tcPr>
            <w:tcW w:w="0" w:type="auto"/>
            <w:vAlign w:val="center"/>
            <w:hideMark/>
          </w:tcPr>
          <w:p w14:paraId="01771548" w14:textId="77777777" w:rsidR="00B26153" w:rsidRPr="00B26153" w:rsidRDefault="00B26153" w:rsidP="00B66E18">
            <w:pPr>
              <w:spacing w:after="0" w:line="240" w:lineRule="auto"/>
              <w:rPr>
                <w:rFonts w:ascii="Times New Roman" w:eastAsia="Times New Roman" w:hAnsi="Times New Roman" w:cs="Times New Roman"/>
                <w:kern w:val="0"/>
                <w:sz w:val="24"/>
                <w:szCs w:val="24"/>
                <w:highlight w:val="yellow"/>
                <w14:ligatures w14:val="none"/>
              </w:rPr>
            </w:pPr>
            <w:r w:rsidRPr="00B26153">
              <w:rPr>
                <w:rFonts w:ascii="Times New Roman" w:eastAsia="Times New Roman" w:hAnsi="Times New Roman" w:cs="Times New Roman"/>
                <w:kern w:val="0"/>
                <w:sz w:val="24"/>
                <w:szCs w:val="24"/>
                <w:highlight w:val="yellow"/>
                <w14:ligatures w14:val="none"/>
              </w:rPr>
              <w:t>(c)</w:t>
            </w:r>
          </w:p>
        </w:tc>
        <w:tc>
          <w:tcPr>
            <w:tcW w:w="0" w:type="auto"/>
            <w:vAlign w:val="center"/>
            <w:hideMark/>
          </w:tcPr>
          <w:p w14:paraId="5078293C" w14:textId="77777777" w:rsidR="00B26153" w:rsidRPr="00B26153" w:rsidRDefault="00B26153" w:rsidP="00B66E18">
            <w:pPr>
              <w:spacing w:before="100" w:beforeAutospacing="1" w:after="100" w:afterAutospacing="1" w:line="240" w:lineRule="auto"/>
              <w:rPr>
                <w:rFonts w:ascii="Times New Roman" w:eastAsia="Times New Roman" w:hAnsi="Times New Roman" w:cs="Times New Roman"/>
                <w:kern w:val="0"/>
                <w:sz w:val="24"/>
                <w:szCs w:val="24"/>
                <w:highlight w:val="yellow"/>
                <w14:ligatures w14:val="none"/>
              </w:rPr>
            </w:pPr>
            <w:hyperlink r:id="rId8"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Ponding areas</w:t>
              </w:r>
            </w:hyperlink>
            <w:r w:rsidRPr="00B26153">
              <w:rPr>
                <w:rFonts w:ascii="Times New Roman" w:eastAsia="Times New Roman" w:hAnsi="Times New Roman" w:cs="Times New Roman"/>
                <w:kern w:val="0"/>
                <w:sz w:val="24"/>
                <w:szCs w:val="24"/>
                <w:highlight w:val="yellow"/>
                <w14:ligatures w14:val="none"/>
              </w:rPr>
              <w:t>: Not less than 0.5m above the flood datum level stated on the planning map;</w:t>
            </w:r>
          </w:p>
        </w:tc>
      </w:tr>
      <w:tr w:rsidR="00B26153" w:rsidRPr="00B26153" w14:paraId="451807E3" w14:textId="77777777" w:rsidTr="00B66E18">
        <w:trPr>
          <w:tblCellSpacing w:w="15" w:type="dxa"/>
        </w:trPr>
        <w:tc>
          <w:tcPr>
            <w:tcW w:w="0" w:type="auto"/>
            <w:vAlign w:val="center"/>
            <w:hideMark/>
          </w:tcPr>
          <w:p w14:paraId="2B8BC71A" w14:textId="77777777" w:rsidR="00B26153" w:rsidRPr="00B26153" w:rsidRDefault="00B26153" w:rsidP="00B66E18">
            <w:pPr>
              <w:spacing w:after="0" w:line="240" w:lineRule="auto"/>
              <w:rPr>
                <w:rFonts w:ascii="Times New Roman" w:eastAsia="Times New Roman" w:hAnsi="Times New Roman" w:cs="Times New Roman"/>
                <w:kern w:val="0"/>
                <w:sz w:val="24"/>
                <w:szCs w:val="24"/>
                <w:highlight w:val="yellow"/>
                <w14:ligatures w14:val="none"/>
              </w:rPr>
            </w:pPr>
            <w:r w:rsidRPr="00B26153">
              <w:rPr>
                <w:rFonts w:ascii="Times New Roman" w:eastAsia="Times New Roman" w:hAnsi="Times New Roman" w:cs="Times New Roman"/>
                <w:kern w:val="0"/>
                <w:sz w:val="24"/>
                <w:szCs w:val="24"/>
                <w:highlight w:val="yellow"/>
                <w14:ligatures w14:val="none"/>
              </w:rPr>
              <w:t>(d)</w:t>
            </w:r>
          </w:p>
        </w:tc>
        <w:tc>
          <w:tcPr>
            <w:tcW w:w="0" w:type="auto"/>
            <w:vAlign w:val="center"/>
            <w:hideMark/>
          </w:tcPr>
          <w:p w14:paraId="2C61F59B" w14:textId="77777777" w:rsidR="00B26153" w:rsidRPr="00B26153" w:rsidRDefault="00B26153" w:rsidP="00B66E18">
            <w:pPr>
              <w:spacing w:after="0" w:line="240" w:lineRule="auto"/>
              <w:rPr>
                <w:rFonts w:ascii="Times New Roman" w:eastAsia="Times New Roman" w:hAnsi="Times New Roman" w:cs="Times New Roman"/>
                <w:kern w:val="0"/>
                <w:sz w:val="24"/>
                <w:szCs w:val="24"/>
                <w:highlight w:val="yellow"/>
                <w14:ligatures w14:val="none"/>
              </w:rPr>
            </w:pPr>
            <w:hyperlink r:id="rId9"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Overland flow and ponding</w:t>
              </w:r>
            </w:hyperlink>
            <w:r w:rsidRPr="00B26153">
              <w:rPr>
                <w:rFonts w:ascii="Times New Roman" w:eastAsia="Times New Roman" w:hAnsi="Times New Roman" w:cs="Times New Roman"/>
                <w:kern w:val="0"/>
                <w:sz w:val="24"/>
                <w:szCs w:val="24"/>
                <w:highlight w:val="yellow"/>
                <w14:ligatures w14:val="none"/>
              </w:rPr>
              <w:t xml:space="preserve"> areas: Not less than one metre above natural </w:t>
            </w:r>
            <w:hyperlink r:id="rId10"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ground level</w:t>
              </w:r>
            </w:hyperlink>
            <w:r w:rsidRPr="00B26153">
              <w:rPr>
                <w:rFonts w:ascii="Times New Roman" w:eastAsia="Times New Roman" w:hAnsi="Times New Roman" w:cs="Times New Roman"/>
                <w:kern w:val="0"/>
                <w:sz w:val="24"/>
                <w:szCs w:val="24"/>
                <w:highlight w:val="yellow"/>
                <w14:ligatures w14:val="none"/>
              </w:rPr>
              <w:t>. </w:t>
            </w:r>
          </w:p>
        </w:tc>
      </w:tr>
      <w:tr w:rsidR="00B26153" w:rsidRPr="00B26153" w14:paraId="2404FF10" w14:textId="77777777" w:rsidTr="00B66E18">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45F35B5E" w14:textId="77777777" w:rsidR="00B26153" w:rsidRPr="00B26153" w:rsidRDefault="00B26153" w:rsidP="00B66E18">
            <w:pPr>
              <w:spacing w:after="0" w:line="240" w:lineRule="auto"/>
              <w:rPr>
                <w:rFonts w:ascii="Times New Roman" w:eastAsia="Times New Roman" w:hAnsi="Times New Roman" w:cs="Times New Roman"/>
                <w:kern w:val="0"/>
                <w:sz w:val="24"/>
                <w:szCs w:val="24"/>
                <w:highlight w:val="yellow"/>
                <w14:ligatures w14:val="none"/>
              </w:rPr>
            </w:pPr>
          </w:p>
        </w:tc>
      </w:tr>
    </w:tbl>
    <w:p w14:paraId="12D05427" w14:textId="77777777" w:rsidR="0094454D" w:rsidRDefault="0094454D" w:rsidP="00B26153">
      <w:pPr>
        <w:spacing w:after="0" w:line="240" w:lineRule="auto"/>
        <w:rPr>
          <w:rFonts w:ascii="Times New Roman" w:eastAsia="Times New Roman" w:hAnsi="Times New Roman" w:cs="Times New Roman"/>
          <w:kern w:val="0"/>
          <w:sz w:val="24"/>
          <w:szCs w:val="24"/>
          <w:highlight w:val="yellow"/>
          <w14:ligatures w14:val="none"/>
        </w:rPr>
      </w:pPr>
    </w:p>
    <w:p w14:paraId="6EB9E173" w14:textId="59043E21" w:rsidR="00B26153" w:rsidRPr="002D3988" w:rsidRDefault="00B26153" w:rsidP="00B26153">
      <w:pPr>
        <w:spacing w:after="0" w:line="240" w:lineRule="auto"/>
        <w:rPr>
          <w:rFonts w:ascii="Times New Roman" w:eastAsia="Times New Roman" w:hAnsi="Times New Roman" w:cs="Times New Roman"/>
          <w:kern w:val="0"/>
          <w:sz w:val="24"/>
          <w:szCs w:val="24"/>
          <w14:ligatures w14:val="none"/>
        </w:rPr>
      </w:pPr>
      <w:r w:rsidRPr="00B26153">
        <w:rPr>
          <w:rFonts w:ascii="Times New Roman" w:eastAsia="Times New Roman" w:hAnsi="Times New Roman" w:cs="Times New Roman"/>
          <w:kern w:val="0"/>
          <w:sz w:val="24"/>
          <w:szCs w:val="24"/>
          <w:highlight w:val="yellow"/>
          <w14:ligatures w14:val="none"/>
        </w:rPr>
        <w:t xml:space="preserve">Floor levels of all houses and all habitable rooms for sites located in a flood </w:t>
      </w:r>
      <w:hyperlink r:id="rId11"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hazard area</w:t>
        </w:r>
      </w:hyperlink>
      <w:r w:rsidRPr="00B26153">
        <w:rPr>
          <w:rFonts w:ascii="Times New Roman" w:eastAsia="Times New Roman" w:hAnsi="Times New Roman" w:cs="Times New Roman"/>
          <w:kern w:val="0"/>
          <w:sz w:val="24"/>
          <w:szCs w:val="24"/>
          <w:highlight w:val="yellow"/>
          <w14:ligatures w14:val="none"/>
        </w:rPr>
        <w:t xml:space="preserve"> shall meet the following standard;</w:t>
      </w:r>
      <w:r w:rsidRPr="00B26153">
        <w:rPr>
          <w:rFonts w:ascii="Times New Roman" w:eastAsia="Times New Roman" w:hAnsi="Times New Roman" w:cs="Times New Roman"/>
          <w:kern w:val="0"/>
          <w:sz w:val="24"/>
          <w:szCs w:val="24"/>
          <w:highlight w:val="yellow"/>
          <w14:ligatures w14:val="none"/>
        </w:rPr>
        <w:br/>
        <w:t xml:space="preserve">Not less than 0.5 metres above predicted flood levels. </w:t>
      </w:r>
      <w:r w:rsidRPr="00391679">
        <w:rPr>
          <w:rFonts w:ascii="Times New Roman" w:eastAsia="Times New Roman" w:hAnsi="Times New Roman" w:cs="Times New Roman"/>
          <w:b/>
          <w:bCs/>
          <w:kern w:val="0"/>
          <w:sz w:val="24"/>
          <w:szCs w:val="24"/>
          <w:highlight w:val="yellow"/>
          <w14:ligatures w14:val="none"/>
        </w:rPr>
        <w:t>Predicted flood levels are determined by reference to flood modelling, flooding history, a derived flood event, and existing flood protection measures.</w:t>
      </w:r>
      <w:r w:rsidRPr="00B26153">
        <w:rPr>
          <w:rFonts w:ascii="Times New Roman" w:eastAsia="Times New Roman" w:hAnsi="Times New Roman" w:cs="Times New Roman"/>
          <w:kern w:val="0"/>
          <w:sz w:val="24"/>
          <w:szCs w:val="24"/>
          <w:highlight w:val="yellow"/>
          <w14:ligatures w14:val="none"/>
        </w:rPr>
        <w:t xml:space="preserve"> In defended areas, floor levels must be 0.5 metres above the predicted flood level for a </w:t>
      </w:r>
      <w:hyperlink r:id="rId12" w:tooltip="Click for definition" w:history="1">
        <w:r w:rsidRPr="00B26153">
          <w:rPr>
            <w:rFonts w:ascii="Times New Roman" w:eastAsia="Times New Roman" w:hAnsi="Times New Roman" w:cs="Times New Roman"/>
            <w:color w:val="0000FF"/>
            <w:kern w:val="0"/>
            <w:sz w:val="24"/>
            <w:szCs w:val="24"/>
            <w:highlight w:val="yellow"/>
            <w:u w:val="single"/>
            <w14:ligatures w14:val="none"/>
          </w:rPr>
          <w:t>1% flood</w:t>
        </w:r>
      </w:hyperlink>
      <w:r w:rsidRPr="00B26153">
        <w:rPr>
          <w:rFonts w:ascii="Times New Roman" w:eastAsia="Times New Roman" w:hAnsi="Times New Roman" w:cs="Times New Roman"/>
          <w:kern w:val="0"/>
          <w:sz w:val="24"/>
          <w:szCs w:val="24"/>
          <w:highlight w:val="yellow"/>
          <w14:ligatures w14:val="none"/>
        </w:rPr>
        <w:t xml:space="preserve"> event.</w:t>
      </w:r>
    </w:p>
    <w:p w14:paraId="738122EF" w14:textId="77777777" w:rsidR="0094454D" w:rsidRDefault="0094454D" w:rsidP="00B26153">
      <w:pPr>
        <w:spacing w:after="0" w:line="240" w:lineRule="auto"/>
        <w:rPr>
          <w:rFonts w:ascii="Times New Roman" w:eastAsia="Times New Roman" w:hAnsi="Times New Roman" w:cs="Times New Roman"/>
          <w:kern w:val="0"/>
          <w:sz w:val="24"/>
          <w:szCs w:val="24"/>
          <w14:ligatures w14:val="none"/>
        </w:rPr>
      </w:pPr>
    </w:p>
    <w:p w14:paraId="6C0AF468" w14:textId="5D391FAD" w:rsidR="00B26153" w:rsidRPr="002D3988" w:rsidRDefault="00B26153" w:rsidP="00B26153">
      <w:pPr>
        <w:spacing w:after="0"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In defended areas, new houses must be set back a minimum of 20 metres from the base of any flood defence, unless an easement, or other legal instrument, for the purposes of access to and </w:t>
      </w:r>
      <w:hyperlink r:id="rId13" w:tooltip="Click for definition" w:history="1">
        <w:r w:rsidRPr="002D3988">
          <w:rPr>
            <w:rFonts w:ascii="Times New Roman" w:eastAsia="Times New Roman" w:hAnsi="Times New Roman" w:cs="Times New Roman"/>
            <w:color w:val="0000FF"/>
            <w:kern w:val="0"/>
            <w:sz w:val="24"/>
            <w:szCs w:val="24"/>
            <w:u w:val="single"/>
            <w14:ligatures w14:val="none"/>
          </w:rPr>
          <w:t>maintenance</w:t>
        </w:r>
      </w:hyperlink>
      <w:r w:rsidRPr="002D3988">
        <w:rPr>
          <w:rFonts w:ascii="Times New Roman" w:eastAsia="Times New Roman" w:hAnsi="Times New Roman" w:cs="Times New Roman"/>
          <w:kern w:val="0"/>
          <w:sz w:val="24"/>
          <w:szCs w:val="24"/>
          <w14:ligatures w14:val="none"/>
        </w:rPr>
        <w:t xml:space="preserve"> of the flood defence has been registered on the Computer Freehold Register or Certificate of </w:t>
      </w:r>
      <w:hyperlink r:id="rId14" w:tooltip="Click for definition" w:history="1">
        <w:r w:rsidRPr="002D3988">
          <w:rPr>
            <w:rFonts w:ascii="Times New Roman" w:eastAsia="Times New Roman" w:hAnsi="Times New Roman" w:cs="Times New Roman"/>
            <w:color w:val="0000FF"/>
            <w:kern w:val="0"/>
            <w:sz w:val="24"/>
            <w:szCs w:val="24"/>
            <w:u w:val="single"/>
            <w14:ligatures w14:val="none"/>
          </w:rPr>
          <w:t>Title</w:t>
        </w:r>
      </w:hyperlink>
      <w:r w:rsidRPr="002D3988">
        <w:rPr>
          <w:rFonts w:ascii="Times New Roman" w:eastAsia="Times New Roman" w:hAnsi="Times New Roman" w:cs="Times New Roman"/>
          <w:kern w:val="0"/>
          <w:sz w:val="24"/>
          <w:szCs w:val="24"/>
          <w14:ligatures w14:val="none"/>
        </w:rPr>
        <w:t>.</w:t>
      </w:r>
    </w:p>
    <w:p w14:paraId="1F4D7D4B" w14:textId="77777777" w:rsidR="0094454D" w:rsidRDefault="0094454D" w:rsidP="00B26153">
      <w:pPr>
        <w:spacing w:after="0" w:line="240" w:lineRule="auto"/>
        <w:rPr>
          <w:rFonts w:ascii="Times New Roman" w:eastAsia="Times New Roman" w:hAnsi="Times New Roman" w:cs="Times New Roman"/>
          <w:kern w:val="0"/>
          <w:sz w:val="24"/>
          <w:szCs w:val="24"/>
          <w:highlight w:val="yellow"/>
          <w14:ligatures w14:val="none"/>
        </w:rPr>
      </w:pPr>
    </w:p>
    <w:p w14:paraId="7B4F2EE4" w14:textId="3C262B07" w:rsidR="00B26153" w:rsidRDefault="00B26153" w:rsidP="00B26153">
      <w:pPr>
        <w:spacing w:after="0" w:line="240" w:lineRule="auto"/>
        <w:rPr>
          <w:rFonts w:ascii="Times New Roman" w:eastAsia="Times New Roman" w:hAnsi="Times New Roman" w:cs="Times New Roman"/>
          <w:kern w:val="0"/>
          <w:sz w:val="24"/>
          <w:szCs w:val="24"/>
          <w14:ligatures w14:val="none"/>
        </w:rPr>
      </w:pPr>
      <w:r w:rsidRPr="00B26153">
        <w:rPr>
          <w:rFonts w:ascii="Times New Roman" w:eastAsia="Times New Roman" w:hAnsi="Times New Roman" w:cs="Times New Roman"/>
          <w:kern w:val="0"/>
          <w:sz w:val="24"/>
          <w:szCs w:val="24"/>
          <w:highlight w:val="yellow"/>
          <w14:ligatures w14:val="none"/>
        </w:rPr>
        <w:t>In medium flood hazard areas, replacement houses or additions to houses must be designed with foundations that are open and allow the free passage of floodwaters to pass beneath them to ensure habitable areas are not subject to inundation and floodwaters are not diverted or displaced onto surrounding properties.</w:t>
      </w:r>
      <w:r w:rsidRPr="002D3988">
        <w:rPr>
          <w:rFonts w:ascii="Times New Roman" w:eastAsia="Times New Roman" w:hAnsi="Times New Roman" w:cs="Times New Roman"/>
          <w:kern w:val="0"/>
          <w:sz w:val="24"/>
          <w:szCs w:val="24"/>
          <w14:ligatures w14:val="none"/>
        </w:rPr>
        <w:br/>
      </w:r>
      <w:r w:rsidRPr="002D3988">
        <w:rPr>
          <w:rFonts w:ascii="Times New Roman" w:eastAsia="Times New Roman" w:hAnsi="Times New Roman" w:cs="Times New Roman"/>
          <w:kern w:val="0"/>
          <w:sz w:val="24"/>
          <w:szCs w:val="24"/>
          <w14:ligatures w14:val="none"/>
        </w:rPr>
        <w:br/>
        <w:t xml:space="preserve">To ensure compliance with this standard a report from a suitably qualified expert (e.g. hydrological engineer) is required to accompany any </w:t>
      </w:r>
      <w:hyperlink r:id="rId15" w:tooltip="Click for definition" w:history="1">
        <w:r w:rsidRPr="002D3988">
          <w:rPr>
            <w:rFonts w:ascii="Times New Roman" w:eastAsia="Times New Roman" w:hAnsi="Times New Roman" w:cs="Times New Roman"/>
            <w:color w:val="0000FF"/>
            <w:kern w:val="0"/>
            <w:sz w:val="24"/>
            <w:szCs w:val="24"/>
            <w:u w:val="single"/>
            <w14:ligatures w14:val="none"/>
          </w:rPr>
          <w:t>building</w:t>
        </w:r>
      </w:hyperlink>
      <w:r w:rsidRPr="002D3988">
        <w:rPr>
          <w:rFonts w:ascii="Times New Roman" w:eastAsia="Times New Roman" w:hAnsi="Times New Roman" w:cs="Times New Roman"/>
          <w:kern w:val="0"/>
          <w:sz w:val="24"/>
          <w:szCs w:val="24"/>
          <w14:ligatures w14:val="none"/>
        </w:rPr>
        <w:t xml:space="preserve"> consent for the activities listed above, confirming that the proposal complies with this requirement.</w:t>
      </w:r>
    </w:p>
    <w:p w14:paraId="0D94F4A2" w14:textId="77777777" w:rsidR="0094454D" w:rsidRPr="002D3988" w:rsidRDefault="0094454D" w:rsidP="00B26153">
      <w:pPr>
        <w:spacing w:after="0" w:line="240" w:lineRule="auto"/>
        <w:rPr>
          <w:rFonts w:ascii="Times New Roman" w:eastAsia="Times New Roman" w:hAnsi="Times New Roman" w:cs="Times New Roman"/>
          <w:kern w:val="0"/>
          <w:sz w:val="24"/>
          <w:szCs w:val="24"/>
          <w14:ligatures w14:val="none"/>
        </w:rPr>
      </w:pPr>
    </w:p>
    <w:tbl>
      <w:tblPr>
        <w:tblW w:w="5000" w:type="pct"/>
        <w:tblCellSpacing w:w="0" w:type="dxa"/>
        <w:shd w:val="clear" w:color="auto" w:fill="DDDDDD"/>
        <w:tblCellMar>
          <w:left w:w="0" w:type="dxa"/>
          <w:right w:w="0" w:type="dxa"/>
        </w:tblCellMar>
        <w:tblLook w:val="04A0" w:firstRow="1" w:lastRow="0" w:firstColumn="1" w:lastColumn="0" w:noHBand="0" w:noVBand="1"/>
      </w:tblPr>
      <w:tblGrid>
        <w:gridCol w:w="903"/>
        <w:gridCol w:w="8123"/>
      </w:tblGrid>
      <w:tr w:rsidR="00B26153" w:rsidRPr="002D3988" w14:paraId="44E52946" w14:textId="77777777" w:rsidTr="00B66E18">
        <w:trPr>
          <w:tblCellSpacing w:w="0" w:type="dxa"/>
        </w:trPr>
        <w:tc>
          <w:tcPr>
            <w:tcW w:w="500" w:type="pct"/>
            <w:shd w:val="clear" w:color="auto" w:fill="DDDDDD"/>
            <w:hideMark/>
          </w:tcPr>
          <w:p w14:paraId="27C6DD70"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b/>
                <w:bCs/>
                <w:kern w:val="0"/>
                <w:sz w:val="24"/>
                <w:szCs w:val="24"/>
                <w14:ligatures w14:val="none"/>
              </w:rPr>
              <w:t>Note</w:t>
            </w:r>
          </w:p>
        </w:tc>
        <w:tc>
          <w:tcPr>
            <w:tcW w:w="4500" w:type="pct"/>
            <w:shd w:val="clear" w:color="auto" w:fill="DDDDDD"/>
            <w:vAlign w:val="center"/>
            <w:hideMark/>
          </w:tcPr>
          <w:p w14:paraId="1329C7DD"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Ground levels and hazard setback lines should be confirmed by survey. </w:t>
            </w:r>
          </w:p>
        </w:tc>
      </w:tr>
      <w:tr w:rsidR="00B26153" w:rsidRPr="002D3988" w14:paraId="2CA07546" w14:textId="77777777" w:rsidTr="00B66E18">
        <w:trPr>
          <w:tblCellSpacing w:w="0" w:type="dxa"/>
        </w:trPr>
        <w:tc>
          <w:tcPr>
            <w:tcW w:w="500" w:type="pct"/>
            <w:shd w:val="clear" w:color="auto" w:fill="DDDDDD"/>
            <w:hideMark/>
          </w:tcPr>
          <w:p w14:paraId="266D40EB" w14:textId="77777777" w:rsidR="00B26153" w:rsidRPr="002D3988" w:rsidRDefault="00B26153" w:rsidP="00B66E18">
            <w:pPr>
              <w:spacing w:after="0"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w:t>
            </w:r>
          </w:p>
        </w:tc>
        <w:tc>
          <w:tcPr>
            <w:tcW w:w="4500" w:type="pct"/>
            <w:shd w:val="clear" w:color="auto" w:fill="DDDDDD"/>
            <w:vAlign w:val="center"/>
            <w:hideMark/>
          </w:tcPr>
          <w:p w14:paraId="48602CB8" w14:textId="77777777" w:rsidR="00B26153" w:rsidRPr="002D3988" w:rsidRDefault="00B26153" w:rsidP="00B66E18">
            <w:pPr>
              <w:spacing w:after="0"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w:t>
            </w:r>
          </w:p>
        </w:tc>
      </w:tr>
      <w:tr w:rsidR="00B26153" w:rsidRPr="002D3988" w14:paraId="4DA59E9D" w14:textId="77777777" w:rsidTr="00B66E18">
        <w:trPr>
          <w:tblCellSpacing w:w="0" w:type="dxa"/>
        </w:trPr>
        <w:tc>
          <w:tcPr>
            <w:tcW w:w="0" w:type="auto"/>
            <w:shd w:val="clear" w:color="auto" w:fill="DDDDDD"/>
            <w:hideMark/>
          </w:tcPr>
          <w:p w14:paraId="22BFBD85"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b/>
                <w:bCs/>
                <w:kern w:val="0"/>
                <w:sz w:val="24"/>
                <w:szCs w:val="24"/>
                <w14:ligatures w14:val="none"/>
              </w:rPr>
              <w:t>Note</w:t>
            </w:r>
          </w:p>
        </w:tc>
        <w:tc>
          <w:tcPr>
            <w:tcW w:w="0" w:type="auto"/>
            <w:shd w:val="clear" w:color="auto" w:fill="DDDDDD"/>
            <w:vAlign w:val="center"/>
            <w:hideMark/>
          </w:tcPr>
          <w:p w14:paraId="30D66EE9"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Coastal flooding and erosion areas setback </w:t>
            </w:r>
            <w:hyperlink r:id="rId16" w:tooltip="Click for definition" w:history="1">
              <w:r w:rsidRPr="002D3988">
                <w:rPr>
                  <w:rFonts w:ascii="Times New Roman" w:eastAsia="Times New Roman" w:hAnsi="Times New Roman" w:cs="Times New Roman"/>
                  <w:color w:val="0000FF"/>
                  <w:kern w:val="0"/>
                  <w:sz w:val="24"/>
                  <w:szCs w:val="24"/>
                  <w:u w:val="single"/>
                  <w14:ligatures w14:val="none"/>
                </w:rPr>
                <w:t>standards</w:t>
              </w:r>
            </w:hyperlink>
            <w:r w:rsidRPr="002D3988">
              <w:rPr>
                <w:rFonts w:ascii="Times New Roman" w:eastAsia="Times New Roman" w:hAnsi="Times New Roman" w:cs="Times New Roman"/>
                <w:kern w:val="0"/>
                <w:sz w:val="24"/>
                <w:szCs w:val="24"/>
                <w14:ligatures w14:val="none"/>
              </w:rPr>
              <w:t xml:space="preserve"> are applied and enforced under the </w:t>
            </w:r>
            <w:hyperlink r:id="rId17" w:tooltip="Click for definition" w:history="1">
              <w:r w:rsidRPr="002D3988">
                <w:rPr>
                  <w:rFonts w:ascii="Times New Roman" w:eastAsia="Times New Roman" w:hAnsi="Times New Roman" w:cs="Times New Roman"/>
                  <w:color w:val="0000FF"/>
                  <w:kern w:val="0"/>
                  <w:sz w:val="24"/>
                  <w:szCs w:val="24"/>
                  <w:u w:val="single"/>
                  <w14:ligatures w14:val="none"/>
                </w:rPr>
                <w:t>Building</w:t>
              </w:r>
            </w:hyperlink>
            <w:r w:rsidRPr="002D3988">
              <w:rPr>
                <w:rFonts w:ascii="Times New Roman" w:eastAsia="Times New Roman" w:hAnsi="Times New Roman" w:cs="Times New Roman"/>
                <w:kern w:val="0"/>
                <w:sz w:val="24"/>
                <w:szCs w:val="24"/>
                <w14:ligatures w14:val="none"/>
              </w:rPr>
              <w:t xml:space="preserve"> </w:t>
            </w:r>
            <w:hyperlink r:id="rId18" w:tooltip="Click for definition" w:history="1">
              <w:r w:rsidRPr="002D3988">
                <w:rPr>
                  <w:rFonts w:ascii="Times New Roman" w:eastAsia="Times New Roman" w:hAnsi="Times New Roman" w:cs="Times New Roman"/>
                  <w:color w:val="0000FF"/>
                  <w:kern w:val="0"/>
                  <w:sz w:val="24"/>
                  <w:szCs w:val="24"/>
                  <w:u w:val="single"/>
                  <w14:ligatures w14:val="none"/>
                </w:rPr>
                <w:t>Act</w:t>
              </w:r>
            </w:hyperlink>
            <w:r w:rsidRPr="002D3988">
              <w:rPr>
                <w:rFonts w:ascii="Times New Roman" w:eastAsia="Times New Roman" w:hAnsi="Times New Roman" w:cs="Times New Roman"/>
                <w:kern w:val="0"/>
                <w:sz w:val="24"/>
                <w:szCs w:val="24"/>
                <w14:ligatures w14:val="none"/>
              </w:rPr>
              <w:t xml:space="preserve">. </w:t>
            </w:r>
          </w:p>
          <w:p w14:paraId="4855848F"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Locations where the setbacks apply are shown on the same maps as those which define "Beachfront Yards" in Section 9 under "</w:t>
            </w:r>
            <w:hyperlink r:id="rId19" w:tooltip="Click for definition" w:history="1">
              <w:r w:rsidRPr="002D3988">
                <w:rPr>
                  <w:rFonts w:ascii="Times New Roman" w:eastAsia="Times New Roman" w:hAnsi="Times New Roman" w:cs="Times New Roman"/>
                  <w:color w:val="0000FF"/>
                  <w:kern w:val="0"/>
                  <w:sz w:val="24"/>
                  <w:szCs w:val="24"/>
                  <w:u w:val="single"/>
                  <w14:ligatures w14:val="none"/>
                </w:rPr>
                <w:t>Yard</w:t>
              </w:r>
            </w:hyperlink>
            <w:r w:rsidRPr="002D3988">
              <w:rPr>
                <w:rFonts w:ascii="Times New Roman" w:eastAsia="Times New Roman" w:hAnsi="Times New Roman" w:cs="Times New Roman"/>
                <w:kern w:val="0"/>
                <w:sz w:val="24"/>
                <w:szCs w:val="24"/>
                <w14:ligatures w14:val="none"/>
              </w:rPr>
              <w:t xml:space="preserve">". </w:t>
            </w:r>
          </w:p>
          <w:p w14:paraId="79148B48"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The setbacks under the </w:t>
            </w:r>
            <w:hyperlink r:id="rId20" w:tooltip="Click for definition" w:history="1">
              <w:r w:rsidRPr="002D3988">
                <w:rPr>
                  <w:rFonts w:ascii="Times New Roman" w:eastAsia="Times New Roman" w:hAnsi="Times New Roman" w:cs="Times New Roman"/>
                  <w:color w:val="0000FF"/>
                  <w:kern w:val="0"/>
                  <w:sz w:val="24"/>
                  <w:szCs w:val="24"/>
                  <w:u w:val="single"/>
                  <w14:ligatures w14:val="none"/>
                </w:rPr>
                <w:t>Building</w:t>
              </w:r>
            </w:hyperlink>
            <w:r w:rsidRPr="002D3988">
              <w:rPr>
                <w:rFonts w:ascii="Times New Roman" w:eastAsia="Times New Roman" w:hAnsi="Times New Roman" w:cs="Times New Roman"/>
                <w:kern w:val="0"/>
                <w:sz w:val="24"/>
                <w:szCs w:val="24"/>
                <w14:ligatures w14:val="none"/>
              </w:rPr>
              <w:t xml:space="preserve"> </w:t>
            </w:r>
            <w:hyperlink r:id="rId21" w:tooltip="Click for definition" w:history="1">
              <w:r w:rsidRPr="002D3988">
                <w:rPr>
                  <w:rFonts w:ascii="Times New Roman" w:eastAsia="Times New Roman" w:hAnsi="Times New Roman" w:cs="Times New Roman"/>
                  <w:color w:val="0000FF"/>
                  <w:kern w:val="0"/>
                  <w:sz w:val="24"/>
                  <w:szCs w:val="24"/>
                  <w:u w:val="single"/>
                  <w14:ligatures w14:val="none"/>
                </w:rPr>
                <w:t>Act</w:t>
              </w:r>
            </w:hyperlink>
            <w:r w:rsidRPr="002D3988">
              <w:rPr>
                <w:rFonts w:ascii="Times New Roman" w:eastAsia="Times New Roman" w:hAnsi="Times New Roman" w:cs="Times New Roman"/>
                <w:kern w:val="0"/>
                <w:sz w:val="24"/>
                <w:szCs w:val="24"/>
                <w14:ligatures w14:val="none"/>
              </w:rPr>
              <w:t xml:space="preserve"> apply to buildings and structures including septic tanks and their disposal fields as follows: </w:t>
            </w:r>
          </w:p>
          <w:p w14:paraId="6A0E1084"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u w:val="single"/>
                <w14:ligatures w14:val="none"/>
              </w:rPr>
              <w:lastRenderedPageBreak/>
              <w:t>No Buildings:</w:t>
            </w:r>
            <w:r w:rsidRPr="002D3988">
              <w:rPr>
                <w:rFonts w:ascii="Times New Roman" w:eastAsia="Times New Roman" w:hAnsi="Times New Roman" w:cs="Times New Roman"/>
                <w:kern w:val="0"/>
                <w:sz w:val="24"/>
                <w:szCs w:val="24"/>
                <w14:ligatures w14:val="none"/>
              </w:rPr>
              <w:t xml:space="preserve"> Structures or septic tanks or their disposal fields shall be located within 30m inland from the toe of the natural shoreline or seaward vegetated toe of the foredune on the East Coast. </w:t>
            </w:r>
          </w:p>
          <w:p w14:paraId="6866C0A5"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u w:val="single"/>
                <w14:ligatures w14:val="none"/>
              </w:rPr>
              <w:t>No Buildings:</w:t>
            </w:r>
            <w:r w:rsidRPr="002D3988">
              <w:rPr>
                <w:rFonts w:ascii="Times New Roman" w:eastAsia="Times New Roman" w:hAnsi="Times New Roman" w:cs="Times New Roman"/>
                <w:kern w:val="0"/>
                <w:sz w:val="24"/>
                <w:szCs w:val="24"/>
                <w14:ligatures w14:val="none"/>
              </w:rPr>
              <w:t xml:space="preserve"> Structures or septic tanks or their disposal fields shall be located within 15m inland from the natural shoreline on the West Coast between </w:t>
            </w:r>
            <w:proofErr w:type="spellStart"/>
            <w:r w:rsidRPr="002D3988">
              <w:rPr>
                <w:rFonts w:ascii="Times New Roman" w:eastAsia="Times New Roman" w:hAnsi="Times New Roman" w:cs="Times New Roman"/>
                <w:kern w:val="0"/>
                <w:sz w:val="24"/>
                <w:szCs w:val="24"/>
                <w14:ligatures w14:val="none"/>
              </w:rPr>
              <w:t>Tararu</w:t>
            </w:r>
            <w:proofErr w:type="spellEnd"/>
            <w:r w:rsidRPr="002D3988">
              <w:rPr>
                <w:rFonts w:ascii="Times New Roman" w:eastAsia="Times New Roman" w:hAnsi="Times New Roman" w:cs="Times New Roman"/>
                <w:kern w:val="0"/>
                <w:sz w:val="24"/>
                <w:szCs w:val="24"/>
                <w14:ligatures w14:val="none"/>
              </w:rPr>
              <w:t xml:space="preserve"> and </w:t>
            </w:r>
            <w:proofErr w:type="spellStart"/>
            <w:r w:rsidRPr="002D3988">
              <w:rPr>
                <w:rFonts w:ascii="Times New Roman" w:eastAsia="Times New Roman" w:hAnsi="Times New Roman" w:cs="Times New Roman"/>
                <w:kern w:val="0"/>
                <w:sz w:val="24"/>
                <w:szCs w:val="24"/>
                <w14:ligatures w14:val="none"/>
              </w:rPr>
              <w:t>Waikawau</w:t>
            </w:r>
            <w:proofErr w:type="spellEnd"/>
            <w:r w:rsidRPr="002D3988">
              <w:rPr>
                <w:rFonts w:ascii="Times New Roman" w:eastAsia="Times New Roman" w:hAnsi="Times New Roman" w:cs="Times New Roman"/>
                <w:kern w:val="0"/>
                <w:sz w:val="24"/>
                <w:szCs w:val="24"/>
                <w14:ligatures w14:val="none"/>
              </w:rPr>
              <w:t xml:space="preserve"> (inclusive). </w:t>
            </w:r>
          </w:p>
          <w:p w14:paraId="21BC3E10"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u w:val="single"/>
                <w14:ligatures w14:val="none"/>
              </w:rPr>
              <w:t>Relocated Buildings:</w:t>
            </w:r>
            <w:r w:rsidRPr="002D3988">
              <w:rPr>
                <w:rFonts w:ascii="Times New Roman" w:eastAsia="Times New Roman" w:hAnsi="Times New Roman" w:cs="Times New Roman"/>
                <w:kern w:val="0"/>
                <w:sz w:val="24"/>
                <w:szCs w:val="24"/>
                <w14:ligatures w14:val="none"/>
              </w:rPr>
              <w:t xml:space="preserve"> May be situated between the 30m and 60m hazard lines, East Coast (measured as above), provided that </w:t>
            </w:r>
            <w:hyperlink r:id="rId22" w:tooltip="Click for definition" w:history="1">
              <w:r w:rsidRPr="002D3988">
                <w:rPr>
                  <w:rFonts w:ascii="Times New Roman" w:eastAsia="Times New Roman" w:hAnsi="Times New Roman" w:cs="Times New Roman"/>
                  <w:color w:val="0000FF"/>
                  <w:kern w:val="0"/>
                  <w:sz w:val="24"/>
                  <w:szCs w:val="24"/>
                  <w:u w:val="single"/>
                  <w14:ligatures w14:val="none"/>
                </w:rPr>
                <w:t>Council</w:t>
              </w:r>
            </w:hyperlink>
            <w:r w:rsidRPr="002D3988">
              <w:rPr>
                <w:rFonts w:ascii="Times New Roman" w:eastAsia="Times New Roman" w:hAnsi="Times New Roman" w:cs="Times New Roman"/>
                <w:kern w:val="0"/>
                <w:sz w:val="24"/>
                <w:szCs w:val="24"/>
                <w14:ligatures w14:val="none"/>
              </w:rPr>
              <w:t xml:space="preserve"> may require a greater setback or </w:t>
            </w:r>
            <w:hyperlink r:id="rId23" w:tooltip="Click for definition" w:history="1">
              <w:r w:rsidRPr="002D3988">
                <w:rPr>
                  <w:rFonts w:ascii="Times New Roman" w:eastAsia="Times New Roman" w:hAnsi="Times New Roman" w:cs="Times New Roman"/>
                  <w:color w:val="0000FF"/>
                  <w:kern w:val="0"/>
                  <w:sz w:val="24"/>
                  <w:szCs w:val="24"/>
                  <w:u w:val="single"/>
                  <w14:ligatures w14:val="none"/>
                </w:rPr>
                <w:t>building</w:t>
              </w:r>
            </w:hyperlink>
            <w:r w:rsidRPr="002D3988">
              <w:rPr>
                <w:rFonts w:ascii="Times New Roman" w:eastAsia="Times New Roman" w:hAnsi="Times New Roman" w:cs="Times New Roman"/>
                <w:kern w:val="0"/>
                <w:sz w:val="24"/>
                <w:szCs w:val="24"/>
                <w14:ligatures w14:val="none"/>
              </w:rPr>
              <w:t xml:space="preserve"> to be relocatable in other circumstances if required because of the severity of the erosion or flooding risk. </w:t>
            </w:r>
          </w:p>
        </w:tc>
      </w:tr>
      <w:tr w:rsidR="00B26153" w:rsidRPr="002D3988" w14:paraId="632A5638" w14:textId="77777777" w:rsidTr="00B66E18">
        <w:trPr>
          <w:tblCellSpacing w:w="0" w:type="dxa"/>
        </w:trPr>
        <w:tc>
          <w:tcPr>
            <w:tcW w:w="0" w:type="auto"/>
            <w:shd w:val="clear" w:color="auto" w:fill="DDDDDD"/>
            <w:hideMark/>
          </w:tcPr>
          <w:p w14:paraId="65C2CCB7"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lastRenderedPageBreak/>
              <w:t> </w:t>
            </w:r>
          </w:p>
        </w:tc>
        <w:tc>
          <w:tcPr>
            <w:tcW w:w="0" w:type="auto"/>
            <w:shd w:val="clear" w:color="auto" w:fill="DDDDDD"/>
            <w:vAlign w:val="center"/>
            <w:hideMark/>
          </w:tcPr>
          <w:p w14:paraId="7D3486F5"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w:t>
            </w:r>
          </w:p>
        </w:tc>
      </w:tr>
      <w:tr w:rsidR="00B26153" w:rsidRPr="002D3988" w14:paraId="26695EF9" w14:textId="77777777" w:rsidTr="00B66E18">
        <w:trPr>
          <w:tblCellSpacing w:w="0" w:type="dxa"/>
        </w:trPr>
        <w:tc>
          <w:tcPr>
            <w:tcW w:w="0" w:type="auto"/>
            <w:shd w:val="clear" w:color="auto" w:fill="DDDDDD"/>
            <w:hideMark/>
          </w:tcPr>
          <w:p w14:paraId="6A3A8DDD"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b/>
                <w:bCs/>
                <w:kern w:val="0"/>
                <w:sz w:val="24"/>
                <w:szCs w:val="24"/>
                <w14:ligatures w14:val="none"/>
              </w:rPr>
              <w:t>Note</w:t>
            </w:r>
          </w:p>
        </w:tc>
        <w:tc>
          <w:tcPr>
            <w:tcW w:w="0" w:type="auto"/>
            <w:shd w:val="clear" w:color="auto" w:fill="DDDDDD"/>
            <w:vAlign w:val="center"/>
            <w:hideMark/>
          </w:tcPr>
          <w:p w14:paraId="63614A39" w14:textId="77777777" w:rsidR="00B26153" w:rsidRPr="002D3988" w:rsidRDefault="00B26153" w:rsidP="00B66E1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3988">
              <w:rPr>
                <w:rFonts w:ascii="Times New Roman" w:eastAsia="Times New Roman" w:hAnsi="Times New Roman" w:cs="Times New Roman"/>
                <w:kern w:val="0"/>
                <w:sz w:val="24"/>
                <w:szCs w:val="24"/>
                <w14:ligatures w14:val="none"/>
              </w:rPr>
              <w:t xml:space="preserve">Ground levels and hazard setback lines should be confirmed by the most appropriate means for the solution as directed by </w:t>
            </w:r>
            <w:hyperlink r:id="rId24" w:tooltip="Click for definition" w:history="1">
              <w:r w:rsidRPr="002D3988">
                <w:rPr>
                  <w:rFonts w:ascii="Times New Roman" w:eastAsia="Times New Roman" w:hAnsi="Times New Roman" w:cs="Times New Roman"/>
                  <w:color w:val="0000FF"/>
                  <w:kern w:val="0"/>
                  <w:sz w:val="24"/>
                  <w:szCs w:val="24"/>
                  <w:u w:val="single"/>
                  <w14:ligatures w14:val="none"/>
                </w:rPr>
                <w:t>Council</w:t>
              </w:r>
            </w:hyperlink>
            <w:r w:rsidRPr="002D3988">
              <w:rPr>
                <w:rFonts w:ascii="Times New Roman" w:eastAsia="Times New Roman" w:hAnsi="Times New Roman" w:cs="Times New Roman"/>
                <w:kern w:val="0"/>
                <w:sz w:val="24"/>
                <w:szCs w:val="24"/>
                <w14:ligatures w14:val="none"/>
              </w:rPr>
              <w:t xml:space="preserve">'s </w:t>
            </w:r>
            <w:hyperlink r:id="rId25" w:tooltip="Click for definition" w:history="1">
              <w:r w:rsidRPr="002D3988">
                <w:rPr>
                  <w:rFonts w:ascii="Times New Roman" w:eastAsia="Times New Roman" w:hAnsi="Times New Roman" w:cs="Times New Roman"/>
                  <w:color w:val="0000FF"/>
                  <w:kern w:val="0"/>
                  <w:sz w:val="24"/>
                  <w:szCs w:val="24"/>
                  <w:u w:val="single"/>
                  <w14:ligatures w14:val="none"/>
                </w:rPr>
                <w:t>Building</w:t>
              </w:r>
            </w:hyperlink>
            <w:r w:rsidRPr="002D3988">
              <w:rPr>
                <w:rFonts w:ascii="Times New Roman" w:eastAsia="Times New Roman" w:hAnsi="Times New Roman" w:cs="Times New Roman"/>
                <w:kern w:val="0"/>
                <w:sz w:val="24"/>
                <w:szCs w:val="24"/>
                <w14:ligatures w14:val="none"/>
              </w:rPr>
              <w:t xml:space="preserve"> Inspector.</w:t>
            </w:r>
          </w:p>
        </w:tc>
      </w:tr>
    </w:tbl>
    <w:p w14:paraId="373F1EC2" w14:textId="77777777" w:rsidR="00B26153" w:rsidRDefault="00B26153"/>
    <w:sectPr w:rsidR="00B261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53"/>
    <w:rsid w:val="00391679"/>
    <w:rsid w:val="00466FE0"/>
    <w:rsid w:val="0094454D"/>
    <w:rsid w:val="00B26153"/>
    <w:rsid w:val="00C14B67"/>
    <w:rsid w:val="00E02AB4"/>
    <w:rsid w:val="00FC2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85DC"/>
  <w15:chartTrackingRefBased/>
  <w15:docId w15:val="{3A97E9EA-87F5-4D7B-8A40-8E0F579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153"/>
    <w:rPr>
      <w:rFonts w:eastAsiaTheme="majorEastAsia" w:cstheme="majorBidi"/>
      <w:color w:val="272727" w:themeColor="text1" w:themeTint="D8"/>
    </w:rPr>
  </w:style>
  <w:style w:type="paragraph" w:styleId="Title">
    <w:name w:val="Title"/>
    <w:basedOn w:val="Normal"/>
    <w:next w:val="Normal"/>
    <w:link w:val="TitleChar"/>
    <w:uiPriority w:val="10"/>
    <w:qFormat/>
    <w:rsid w:val="00B2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53"/>
    <w:pPr>
      <w:spacing w:before="160"/>
      <w:jc w:val="center"/>
    </w:pPr>
    <w:rPr>
      <w:i/>
      <w:iCs/>
      <w:color w:val="404040" w:themeColor="text1" w:themeTint="BF"/>
    </w:rPr>
  </w:style>
  <w:style w:type="character" w:customStyle="1" w:styleId="QuoteChar">
    <w:name w:val="Quote Char"/>
    <w:basedOn w:val="DefaultParagraphFont"/>
    <w:link w:val="Quote"/>
    <w:uiPriority w:val="29"/>
    <w:rsid w:val="00B26153"/>
    <w:rPr>
      <w:i/>
      <w:iCs/>
      <w:color w:val="404040" w:themeColor="text1" w:themeTint="BF"/>
    </w:rPr>
  </w:style>
  <w:style w:type="paragraph" w:styleId="ListParagraph">
    <w:name w:val="List Paragraph"/>
    <w:basedOn w:val="Normal"/>
    <w:uiPriority w:val="34"/>
    <w:qFormat/>
    <w:rsid w:val="00B26153"/>
    <w:pPr>
      <w:ind w:left="720"/>
      <w:contextualSpacing/>
    </w:pPr>
  </w:style>
  <w:style w:type="character" w:styleId="IntenseEmphasis">
    <w:name w:val="Intense Emphasis"/>
    <w:basedOn w:val="DefaultParagraphFont"/>
    <w:uiPriority w:val="21"/>
    <w:qFormat/>
    <w:rsid w:val="00B26153"/>
    <w:rPr>
      <w:i/>
      <w:iCs/>
      <w:color w:val="2F5496" w:themeColor="accent1" w:themeShade="BF"/>
    </w:rPr>
  </w:style>
  <w:style w:type="paragraph" w:styleId="IntenseQuote">
    <w:name w:val="Intense Quote"/>
    <w:basedOn w:val="Normal"/>
    <w:next w:val="Normal"/>
    <w:link w:val="IntenseQuoteChar"/>
    <w:uiPriority w:val="30"/>
    <w:qFormat/>
    <w:rsid w:val="00B26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153"/>
    <w:rPr>
      <w:i/>
      <w:iCs/>
      <w:color w:val="2F5496" w:themeColor="accent1" w:themeShade="BF"/>
    </w:rPr>
  </w:style>
  <w:style w:type="character" w:styleId="IntenseReference">
    <w:name w:val="Intense Reference"/>
    <w:basedOn w:val="DefaultParagraphFont"/>
    <w:uiPriority w:val="32"/>
    <w:qFormat/>
    <w:rsid w:val="00B26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lan.tcdc.govt.nz/pages/plan/Book.aspx?exhibit=TCDC_ODP2010_External" TargetMode="External"/><Relationship Id="rId13" Type="http://schemas.openxmlformats.org/officeDocument/2006/relationships/hyperlink" Target="https://eplan.tcdc.govt.nz/pages/plan/Book.aspx?exhibit=TCDC_ODP2010_External" TargetMode="External"/><Relationship Id="rId18" Type="http://schemas.openxmlformats.org/officeDocument/2006/relationships/hyperlink" Target="https://eplan.tcdc.govt.nz/pages/plan/Book.aspx?exhibit=TCDC_ODP2010_Externa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plan.tcdc.govt.nz/pages/plan/Book.aspx?exhibit=TCDC_ODP2010_External" TargetMode="External"/><Relationship Id="rId7" Type="http://schemas.openxmlformats.org/officeDocument/2006/relationships/hyperlink" Target="https://eplan.tcdc.govt.nz/pages/plan/Book.aspx?exhibit=TCDC_ODP2010_External" TargetMode="External"/><Relationship Id="rId12" Type="http://schemas.openxmlformats.org/officeDocument/2006/relationships/hyperlink" Target="https://eplan.tcdc.govt.nz/pages/plan/Book.aspx?exhibit=TCDC_ODP2010_External" TargetMode="External"/><Relationship Id="rId17" Type="http://schemas.openxmlformats.org/officeDocument/2006/relationships/hyperlink" Target="https://eplan.tcdc.govt.nz/pages/plan/Book.aspx?exhibit=TCDC_ODP2010_External" TargetMode="External"/><Relationship Id="rId25" Type="http://schemas.openxmlformats.org/officeDocument/2006/relationships/hyperlink" Target="https://eplan.tcdc.govt.nz/pages/plan/Book.aspx?exhibit=TCDC_ODP2010_External" TargetMode="External"/><Relationship Id="rId2" Type="http://schemas.openxmlformats.org/officeDocument/2006/relationships/settings" Target="settings.xml"/><Relationship Id="rId16" Type="http://schemas.openxmlformats.org/officeDocument/2006/relationships/hyperlink" Target="https://eplan.tcdc.govt.nz/pages/plan/Book.aspx?exhibit=TCDC_ODP2010_External" TargetMode="External"/><Relationship Id="rId20" Type="http://schemas.openxmlformats.org/officeDocument/2006/relationships/hyperlink" Target="https://eplan.tcdc.govt.nz/pages/plan/Book.aspx?exhibit=TCDC_ODP2010_External" TargetMode="External"/><Relationship Id="rId1" Type="http://schemas.openxmlformats.org/officeDocument/2006/relationships/styles" Target="styles.xml"/><Relationship Id="rId6" Type="http://schemas.openxmlformats.org/officeDocument/2006/relationships/hyperlink" Target="https://eplan.tcdc.govt.nz/pages/plan/Book.aspx?exhibit=TCDC_ODP2010_External" TargetMode="External"/><Relationship Id="rId11" Type="http://schemas.openxmlformats.org/officeDocument/2006/relationships/hyperlink" Target="https://eplan.tcdc.govt.nz/pages/plan/Book.aspx?exhibit=TCDC_ODP2010_External" TargetMode="External"/><Relationship Id="rId24" Type="http://schemas.openxmlformats.org/officeDocument/2006/relationships/hyperlink" Target="https://eplan.tcdc.govt.nz/pages/plan/Book.aspx?exhibit=TCDC_ODP2010_External" TargetMode="External"/><Relationship Id="rId5" Type="http://schemas.openxmlformats.org/officeDocument/2006/relationships/hyperlink" Target="https://eplan.tcdc.govt.nz/pages/plan/Book.aspx?exhibit=TCDC_ODP2010_External" TargetMode="External"/><Relationship Id="rId15" Type="http://schemas.openxmlformats.org/officeDocument/2006/relationships/hyperlink" Target="https://eplan.tcdc.govt.nz/pages/plan/Book.aspx?exhibit=TCDC_ODP2010_External" TargetMode="External"/><Relationship Id="rId23" Type="http://schemas.openxmlformats.org/officeDocument/2006/relationships/hyperlink" Target="https://eplan.tcdc.govt.nz/pages/plan/Book.aspx?exhibit=TCDC_ODP2010_External" TargetMode="External"/><Relationship Id="rId10" Type="http://schemas.openxmlformats.org/officeDocument/2006/relationships/hyperlink" Target="https://eplan.tcdc.govt.nz/pages/plan/Book.aspx?exhibit=TCDC_ODP2010_External" TargetMode="External"/><Relationship Id="rId19" Type="http://schemas.openxmlformats.org/officeDocument/2006/relationships/hyperlink" Target="https://eplan.tcdc.govt.nz/pages/plan/Book.aspx?exhibit=TCDC_ODP2010_External" TargetMode="External"/><Relationship Id="rId4" Type="http://schemas.openxmlformats.org/officeDocument/2006/relationships/hyperlink" Target="https://eplan.tcdc.govt.nz/pages/plan/Book.aspx?exhibit=TCDC_ODP2010_External" TargetMode="External"/><Relationship Id="rId9" Type="http://schemas.openxmlformats.org/officeDocument/2006/relationships/hyperlink" Target="https://eplan.tcdc.govt.nz/pages/plan/Book.aspx?exhibit=TCDC_ODP2010_External" TargetMode="External"/><Relationship Id="rId14" Type="http://schemas.openxmlformats.org/officeDocument/2006/relationships/hyperlink" Target="https://eplan.tcdc.govt.nz/pages/plan/Book.aspx?exhibit=TCDC_ODP2010_External" TargetMode="External"/><Relationship Id="rId22" Type="http://schemas.openxmlformats.org/officeDocument/2006/relationships/hyperlink" Target="https://eplan.tcdc.govt.nz/pages/plan/Book.aspx?exhibit=TCDC_ODP2010_Extern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2</cp:revision>
  <dcterms:created xsi:type="dcterms:W3CDTF">2024-12-20T10:58:00Z</dcterms:created>
  <dcterms:modified xsi:type="dcterms:W3CDTF">2024-12-20T10:58:00Z</dcterms:modified>
</cp:coreProperties>
</file>